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36"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8"/>
        <w:tblLayout w:type="fixed"/>
        <w:tblLook w:firstRow="0" w:lastRow="0" w:firstColumn="0" w:lastColumn="0" w:noHBand="0" w:noVBand="0" w:val="0000"/>
      </w:tblPr>
      <w:tblGrid>
        <w:gridCol w:w="332"/>
        <w:gridCol w:w="803"/>
        <w:gridCol w:w="1993"/>
        <w:gridCol w:w="1467"/>
        <w:gridCol w:w="3240"/>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7"/>
        <w:gridCol w:w="861"/>
        <w:gridCol w:w="1234"/>
        <w:gridCol w:w="1350"/>
        <w:gridCol w:w="4127"/>
        <w:gridCol w:w="218"/>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35">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36"/>
    <w:bookmarkStart w:id="138"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37">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38"/>
    <w:bookmarkStart w:id="139"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39"/>
    <w:bookmarkStart w:id="140"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40"/>
    <w:bookmarkStart w:id="141"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serves as a comprehensive guide for users of the Copernicus Land Monitoring Service’s (CLMS) Riparian Zones Land Cover/Land Use (LC/LU) product. It details the characteristics, methodology, quality assessment, and potential applications of the product, which provides high-resolution mapping and change detection of riparian areas along selected rivers across Europe between 2012 and 2018. The document focuses on the technical aspects of the product, including data sources, processing workflows, nomenclature, and accuracy assessment, aiming to equip users with the necessary information for effective utilisation of the RZ LC/LU data in environmental monitoring, policy support, and ecosystem service assessments.</dc:description>
  <cp:keywords>Riparian zone mapping, Land cover change detection, Ecosystem service assessment, Very high-resolution imagery, MAES ecosystem typology, Strahler stream order, Urban Atlas integration, INSPIRE metadata standards, Thematic accuracy validation, Parent Scene Identification Layer</cp:keywords>
  <dcterms:created xsi:type="dcterms:W3CDTF">2025-10-02T09:30:39Z</dcterms:created>
  <dcterms:modified xsi:type="dcterms:W3CDTF">2025-10-02T09:30:39Z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